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AA310E">
      <w:pPr>
        <w:pStyle w:val="19"/>
        <w:rPr>
          <w:rFonts w:ascii="等线" w:hAnsi="等线" w:eastAsia="等线" w:cs="等线"/>
          <w:b/>
          <w:sz w:val="21"/>
          <w:szCs w:val="21"/>
        </w:rPr>
      </w:pPr>
    </w:p>
    <w:p w14:paraId="69806C9B">
      <w:pPr>
        <w:pStyle w:val="19"/>
        <w:rPr>
          <w:rFonts w:ascii="等线" w:hAnsi="等线" w:eastAsia="等线" w:cs="等线"/>
          <w:b/>
          <w:sz w:val="21"/>
          <w:szCs w:val="21"/>
        </w:rPr>
      </w:pPr>
    </w:p>
    <w:p w14:paraId="74F4BDB0">
      <w:pPr>
        <w:pStyle w:val="19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 xml:space="preserve">                                         </w:t>
      </w:r>
    </w:p>
    <w:p w14:paraId="4B6FA0A0">
      <w:pPr>
        <w:pStyle w:val="19"/>
        <w:rPr>
          <w:rFonts w:ascii="等线" w:hAnsi="等线" w:eastAsia="等线" w:cs="等线"/>
        </w:rPr>
      </w:pPr>
    </w:p>
    <w:p w14:paraId="2E9F2C08">
      <w:pPr>
        <w:pStyle w:val="19"/>
        <w:rPr>
          <w:rFonts w:ascii="等线" w:hAnsi="等线" w:eastAsia="等线" w:cs="等线"/>
        </w:rPr>
      </w:pPr>
    </w:p>
    <w:p w14:paraId="6A08B06A">
      <w:pPr>
        <w:pStyle w:val="19"/>
        <w:rPr>
          <w:rFonts w:ascii="等线" w:hAnsi="等线" w:eastAsia="等线" w:cs="等线"/>
          <w:b/>
          <w:sz w:val="21"/>
          <w:szCs w:val="21"/>
        </w:rPr>
      </w:pPr>
      <w:r>
        <w:rPr>
          <w:rFonts w:hint="eastAsia" w:ascii="等线" w:hAnsi="等线" w:eastAsia="等线" w:cs="等线"/>
        </w:rPr>
        <w:t xml:space="preserve">                                           </w:t>
      </w:r>
      <w:r>
        <w:rPr>
          <w:rFonts w:hint="eastAsia" w:ascii="等线" w:hAnsi="等线" w:eastAsia="等线" w:cs="等线"/>
        </w:rPr>
        <w:drawing>
          <wp:inline distT="0" distB="0" distL="114300" distR="114300">
            <wp:extent cx="2673985" cy="2593975"/>
            <wp:effectExtent l="0" t="0" r="12065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B2EA">
      <w:pPr>
        <w:pStyle w:val="19"/>
        <w:rPr>
          <w:rFonts w:ascii="等线" w:hAnsi="等线" w:eastAsia="等线" w:cs="等线"/>
          <w:b/>
          <w:sz w:val="21"/>
          <w:szCs w:val="21"/>
        </w:rPr>
      </w:pPr>
    </w:p>
    <w:p w14:paraId="39E7D751">
      <w:pPr>
        <w:pStyle w:val="19"/>
        <w:rPr>
          <w:rFonts w:ascii="等线" w:hAnsi="等线" w:eastAsia="等线" w:cs="等线"/>
          <w:b/>
          <w:sz w:val="21"/>
          <w:szCs w:val="21"/>
        </w:rPr>
      </w:pPr>
    </w:p>
    <w:p w14:paraId="0E796F6B">
      <w:pPr>
        <w:pStyle w:val="19"/>
        <w:rPr>
          <w:rFonts w:ascii="等线" w:hAnsi="等线" w:eastAsia="等线" w:cs="等线"/>
          <w:b/>
          <w:sz w:val="21"/>
          <w:szCs w:val="21"/>
        </w:rPr>
      </w:pPr>
    </w:p>
    <w:p w14:paraId="61A90509">
      <w:pPr>
        <w:pStyle w:val="19"/>
        <w:rPr>
          <w:rFonts w:ascii="等线" w:hAnsi="等线" w:eastAsia="等线" w:cs="等线"/>
          <w:b/>
          <w:sz w:val="21"/>
          <w:szCs w:val="21"/>
        </w:rPr>
      </w:pPr>
    </w:p>
    <w:p w14:paraId="081A79F7">
      <w:pPr>
        <w:pStyle w:val="19"/>
        <w:rPr>
          <w:rFonts w:ascii="等线" w:hAnsi="等线" w:eastAsia="等线" w:cs="等线"/>
          <w:b/>
          <w:sz w:val="21"/>
          <w:szCs w:val="21"/>
        </w:rPr>
      </w:pPr>
    </w:p>
    <w:p w14:paraId="035AAF3B">
      <w:pPr>
        <w:pStyle w:val="19"/>
        <w:rPr>
          <w:rFonts w:ascii="等线" w:hAnsi="等线" w:eastAsia="等线" w:cs="等线"/>
          <w:b/>
          <w:sz w:val="21"/>
          <w:szCs w:val="21"/>
        </w:rPr>
      </w:pPr>
    </w:p>
    <w:p w14:paraId="2CAEFF00">
      <w:pPr>
        <w:pStyle w:val="19"/>
        <w:rPr>
          <w:rFonts w:ascii="等线" w:hAnsi="等线" w:eastAsia="等线" w:cs="等线"/>
          <w:b/>
          <w:sz w:val="21"/>
          <w:szCs w:val="21"/>
        </w:rPr>
      </w:pPr>
    </w:p>
    <w:p w14:paraId="78AF77FF">
      <w:pPr>
        <w:pStyle w:val="19"/>
        <w:jc w:val="right"/>
        <w:rPr>
          <w:rFonts w:ascii="等线" w:hAnsi="等线" w:eastAsia="等线" w:cs="等线"/>
          <w:b/>
          <w:bCs/>
          <w:color w:val="auto"/>
          <w:sz w:val="48"/>
          <w:szCs w:val="48"/>
        </w:rPr>
      </w:pPr>
      <w:r>
        <w:rPr>
          <w:rFonts w:hint="eastAsia" w:ascii="等线" w:hAnsi="等线" w:eastAsia="等线" w:cs="等线"/>
          <w:b/>
          <w:bCs/>
          <w:color w:val="auto"/>
          <w:sz w:val="48"/>
          <w:szCs w:val="48"/>
        </w:rPr>
        <w:t>版本 V1.0</w:t>
      </w:r>
    </w:p>
    <w:p w14:paraId="39B692AD">
      <w:pPr>
        <w:pStyle w:val="19"/>
        <w:jc w:val="right"/>
        <w:rPr>
          <w:rFonts w:hint="eastAsia" w:ascii="等线" w:hAnsi="等线" w:eastAsia="等线" w:cs="等线"/>
          <w:b/>
          <w:bCs/>
          <w:color w:val="auto"/>
          <w:sz w:val="48"/>
          <w:szCs w:val="48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48"/>
          <w:szCs w:val="48"/>
        </w:rPr>
        <w:t>版权</w:t>
      </w:r>
      <w:r>
        <w:rPr>
          <w:rFonts w:hint="eastAsia" w:ascii="等线" w:hAnsi="等线" w:eastAsia="等线" w:cs="等线"/>
          <w:b/>
          <w:bCs/>
          <w:color w:val="auto"/>
          <w:sz w:val="22"/>
          <w:szCs w:val="22"/>
        </w:rPr>
        <w:t xml:space="preserve"> </w:t>
      </w:r>
      <w:r>
        <w:rPr>
          <w:rFonts w:hint="eastAsia" w:ascii="等线" w:hAnsi="等线" w:eastAsia="等线" w:cs="等线"/>
          <w:b/>
          <w:bCs/>
          <w:color w:val="auto"/>
          <w:sz w:val="48"/>
          <w:szCs w:val="48"/>
        </w:rPr>
        <w:t>©202</w:t>
      </w:r>
      <w:r>
        <w:rPr>
          <w:rFonts w:hint="eastAsia" w:ascii="等线" w:hAnsi="等线" w:eastAsia="等线" w:cs="等线"/>
          <w:b/>
          <w:bCs/>
          <w:color w:val="auto"/>
          <w:sz w:val="48"/>
          <w:szCs w:val="48"/>
          <w:lang w:val="en-US" w:eastAsia="zh-CN"/>
        </w:rPr>
        <w:t>5</w:t>
      </w:r>
    </w:p>
    <w:p w14:paraId="5AF2422E">
      <w:pPr>
        <w:pStyle w:val="19"/>
        <w:jc w:val="right"/>
        <w:rPr>
          <w:rFonts w:ascii="等线" w:hAnsi="等线" w:eastAsia="等线" w:cs="等线"/>
          <w:b/>
          <w:bCs/>
          <w:color w:val="auto"/>
          <w:sz w:val="48"/>
          <w:szCs w:val="48"/>
        </w:rPr>
      </w:pPr>
    </w:p>
    <w:p w14:paraId="522D673F">
      <w:pPr>
        <w:pStyle w:val="19"/>
        <w:jc w:val="right"/>
        <w:rPr>
          <w:rFonts w:ascii="等线" w:hAnsi="等线" w:eastAsia="等线" w:cs="等线"/>
          <w:b/>
          <w:bCs/>
          <w:color w:val="auto"/>
          <w:sz w:val="48"/>
          <w:szCs w:val="48"/>
        </w:rPr>
      </w:pP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4952"/>
        <w:gridCol w:w="993"/>
        <w:gridCol w:w="1199"/>
      </w:tblGrid>
      <w:tr w14:paraId="2CAAB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7833C0C3">
            <w:pPr>
              <w:pStyle w:val="19"/>
              <w:jc w:val="center"/>
              <w:rPr>
                <w:rFonts w:ascii="等线" w:hAnsi="等线" w:eastAsia="等线" w:cs="等线"/>
                <w:b/>
              </w:rPr>
            </w:pPr>
            <w:r>
              <w:rPr>
                <w:rFonts w:hint="eastAsia" w:ascii="等线" w:hAnsi="等线" w:eastAsia="等线" w:cs="等线"/>
                <w:b/>
              </w:rPr>
              <w:t>修订日期</w:t>
            </w:r>
          </w:p>
        </w:tc>
        <w:tc>
          <w:tcPr>
            <w:tcW w:w="4952" w:type="dxa"/>
          </w:tcPr>
          <w:p w14:paraId="52C2FC75">
            <w:pPr>
              <w:pStyle w:val="19"/>
              <w:jc w:val="center"/>
              <w:rPr>
                <w:rFonts w:ascii="等线" w:hAnsi="等线" w:eastAsia="等线" w:cs="等线"/>
                <w:b/>
              </w:rPr>
            </w:pPr>
            <w:r>
              <w:rPr>
                <w:rFonts w:hint="eastAsia" w:ascii="等线" w:hAnsi="等线" w:eastAsia="等线" w:cs="等线"/>
                <w:b/>
              </w:rPr>
              <w:t>修订内容</w:t>
            </w:r>
          </w:p>
        </w:tc>
        <w:tc>
          <w:tcPr>
            <w:tcW w:w="993" w:type="dxa"/>
          </w:tcPr>
          <w:p w14:paraId="700D1D21">
            <w:pPr>
              <w:pStyle w:val="19"/>
              <w:jc w:val="center"/>
              <w:rPr>
                <w:rFonts w:ascii="等线" w:hAnsi="等线" w:eastAsia="等线" w:cs="等线"/>
                <w:b/>
              </w:rPr>
            </w:pPr>
            <w:r>
              <w:rPr>
                <w:rFonts w:hint="eastAsia" w:ascii="等线" w:hAnsi="等线" w:eastAsia="等线" w:cs="等线"/>
                <w:b/>
              </w:rPr>
              <w:t>版本</w:t>
            </w:r>
          </w:p>
        </w:tc>
        <w:tc>
          <w:tcPr>
            <w:tcW w:w="1199" w:type="dxa"/>
          </w:tcPr>
          <w:p w14:paraId="11BD809E">
            <w:pPr>
              <w:pStyle w:val="19"/>
              <w:jc w:val="center"/>
              <w:rPr>
                <w:rFonts w:ascii="等线" w:hAnsi="等线" w:eastAsia="等线" w:cs="等线"/>
                <w:b/>
              </w:rPr>
            </w:pPr>
            <w:r>
              <w:rPr>
                <w:rFonts w:hint="eastAsia" w:ascii="等线" w:hAnsi="等线" w:eastAsia="等线" w:cs="等线"/>
                <w:b/>
              </w:rPr>
              <w:t>修订者</w:t>
            </w:r>
          </w:p>
        </w:tc>
      </w:tr>
      <w:tr w14:paraId="21941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3CCCE0FF">
            <w:pPr>
              <w:pStyle w:val="19"/>
              <w:jc w:val="center"/>
              <w:rPr>
                <w:rFonts w:hint="default" w:ascii="等线" w:hAnsi="等线" w:eastAsia="等线" w:cs="等线"/>
                <w:bCs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Cs/>
              </w:rPr>
              <w:t>202</w:t>
            </w:r>
            <w:r>
              <w:rPr>
                <w:rFonts w:hint="eastAsia" w:ascii="等线" w:hAnsi="等线" w:eastAsia="等线" w:cs="等线"/>
                <w:bCs/>
                <w:lang w:val="en-US" w:eastAsia="zh-CN"/>
              </w:rPr>
              <w:t>5</w:t>
            </w:r>
            <w:r>
              <w:rPr>
                <w:rFonts w:hint="eastAsia" w:ascii="等线" w:hAnsi="等线" w:eastAsia="等线" w:cs="等线"/>
                <w:bCs/>
              </w:rPr>
              <w:t>/</w:t>
            </w:r>
            <w:r>
              <w:rPr>
                <w:rFonts w:hint="eastAsia" w:ascii="等线" w:hAnsi="等线" w:eastAsia="等线" w:cs="等线"/>
                <w:bCs/>
                <w:lang w:val="en-US" w:eastAsia="zh-CN"/>
              </w:rPr>
              <w:t>10</w:t>
            </w:r>
            <w:r>
              <w:rPr>
                <w:rFonts w:hint="eastAsia" w:ascii="等线" w:hAnsi="等线" w:eastAsia="等线" w:cs="等线"/>
                <w:bCs/>
              </w:rPr>
              <w:t>/</w:t>
            </w:r>
            <w:r>
              <w:rPr>
                <w:rFonts w:hint="eastAsia" w:ascii="等线" w:hAnsi="等线" w:eastAsia="等线" w:cs="等线"/>
                <w:bCs/>
                <w:lang w:val="en-US" w:eastAsia="zh-CN"/>
              </w:rPr>
              <w:t>23</w:t>
            </w:r>
          </w:p>
        </w:tc>
        <w:tc>
          <w:tcPr>
            <w:tcW w:w="4952" w:type="dxa"/>
          </w:tcPr>
          <w:p w14:paraId="2EA5ABC0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  <w:r>
              <w:rPr>
                <w:rFonts w:hint="eastAsia" w:ascii="等线" w:hAnsi="等线" w:eastAsia="等线" w:cs="等线"/>
                <w:bCs/>
                <w:lang w:val="en-US" w:eastAsia="zh-CN"/>
              </w:rPr>
              <w:t>Ai-SG01</w:t>
            </w:r>
            <w:r>
              <w:rPr>
                <w:rFonts w:hint="eastAsia" w:ascii="等线" w:hAnsi="等线" w:eastAsia="等线" w:cs="等线"/>
                <w:bCs/>
              </w:rPr>
              <w:t xml:space="preserve"> </w:t>
            </w:r>
            <w:r>
              <w:rPr>
                <w:rFonts w:hint="eastAsia" w:ascii="等线" w:hAnsi="等线" w:eastAsia="等线" w:cs="等线"/>
                <w:bCs/>
                <w:lang w:eastAsia="zh-CN"/>
              </w:rPr>
              <w:t>定频</w:t>
            </w:r>
            <w:r>
              <w:rPr>
                <w:rFonts w:hint="eastAsia" w:ascii="等线" w:hAnsi="等线" w:eastAsia="等线" w:cs="等线"/>
                <w:bCs/>
              </w:rPr>
              <w:t>文件</w:t>
            </w:r>
          </w:p>
        </w:tc>
        <w:tc>
          <w:tcPr>
            <w:tcW w:w="993" w:type="dxa"/>
          </w:tcPr>
          <w:p w14:paraId="34CFC96A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  <w:r>
              <w:rPr>
                <w:rFonts w:hint="eastAsia" w:ascii="等线" w:hAnsi="等线" w:eastAsia="等线" w:cs="等线"/>
                <w:bCs/>
              </w:rPr>
              <w:t>V1.0</w:t>
            </w:r>
          </w:p>
        </w:tc>
        <w:tc>
          <w:tcPr>
            <w:tcW w:w="1199" w:type="dxa"/>
          </w:tcPr>
          <w:p w14:paraId="588647B7">
            <w:pPr>
              <w:pStyle w:val="19"/>
              <w:jc w:val="center"/>
              <w:rPr>
                <w:rFonts w:hint="default" w:ascii="等线" w:hAnsi="等线" w:eastAsia="等线" w:cs="等线"/>
                <w:bCs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Cs/>
                <w:lang w:val="en-US" w:eastAsia="zh-CN"/>
              </w:rPr>
              <w:t>乔荣鑫</w:t>
            </w:r>
          </w:p>
        </w:tc>
      </w:tr>
      <w:tr w14:paraId="31F1A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79184D42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64CA34BE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652025EA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4A8E26EB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3A637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625E0459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36996701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7F685789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23F45016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7C8FE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1EA83BE3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5D1ACD19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1E057628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2B5568D0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0A2A2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043E8633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232C5272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353DEC2A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4D8DE0BA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5B82C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64800AB5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44877A61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5E598728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095F8BBC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6C8F6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110887E4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1951A2FC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6930F19F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097D956D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014E7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1610B178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412901F0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0491C989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6774BF58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6CC95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41D86C1D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063580EF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418EC936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726593C4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24EA3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1419A7F3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74F6D172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3D86D77D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5E2B19B5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11C3C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1D5D13A8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61AF411E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32882AFA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3C5E488B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51F8E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57B1C1C7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1737E380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6C73CF31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37533A7D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7E024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08598614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5B2C1EFF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23537E81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02F216FE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  <w:tr w14:paraId="379A2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09" w:type="dxa"/>
          </w:tcPr>
          <w:p w14:paraId="53D98DD2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4952" w:type="dxa"/>
          </w:tcPr>
          <w:p w14:paraId="0B5ACAE3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993" w:type="dxa"/>
          </w:tcPr>
          <w:p w14:paraId="618D90D9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  <w:tc>
          <w:tcPr>
            <w:tcW w:w="1199" w:type="dxa"/>
          </w:tcPr>
          <w:p w14:paraId="07FEF0B7">
            <w:pPr>
              <w:pStyle w:val="19"/>
              <w:jc w:val="center"/>
              <w:rPr>
                <w:rFonts w:ascii="等线" w:hAnsi="等线" w:eastAsia="等线" w:cs="等线"/>
                <w:bCs/>
              </w:rPr>
            </w:pPr>
          </w:p>
        </w:tc>
      </w:tr>
    </w:tbl>
    <w:p w14:paraId="3A181454">
      <w:pPr>
        <w:pStyle w:val="19"/>
        <w:jc w:val="both"/>
        <w:rPr>
          <w:rFonts w:ascii="等线" w:hAnsi="等线" w:eastAsia="等线" w:cs="等线"/>
          <w:bCs/>
        </w:rPr>
      </w:pPr>
    </w:p>
    <w:p w14:paraId="227C9E21">
      <w:pPr>
        <w:widowControl/>
        <w:jc w:val="left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br w:type="page"/>
      </w:r>
    </w:p>
    <w:p w14:paraId="2F53CE71"/>
    <w:p w14:paraId="2969DAD6">
      <w:pPr>
        <w:widowControl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4"/>
          <w:szCs w:val="44"/>
        </w:rPr>
        <w:t>准备前工作：</w:t>
      </w:r>
    </w:p>
    <w:p w14:paraId="3482B252">
      <w:pPr>
        <w:widowControl/>
        <w:numPr>
          <w:ilvl w:val="0"/>
          <w:numId w:val="0"/>
        </w:numPr>
        <w:spacing w:line="400" w:lineRule="exact"/>
        <w:jc w:val="left"/>
        <w:rPr>
          <w:rFonts w:ascii="等线" w:hAnsi="等线" w:eastAsia="等线" w:cs="等线"/>
          <w:color w:val="000000"/>
          <w:kern w:val="0"/>
          <w:szCs w:val="21"/>
        </w:rPr>
      </w:pPr>
      <w:r>
        <w:rPr>
          <w:rFonts w:hint="eastAsia" w:ascii="等线" w:hAnsi="等线" w:eastAsia="等线" w:cs="等线"/>
          <w:color w:val="000000"/>
          <w:kern w:val="0"/>
          <w:szCs w:val="21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所需环境：</w:t>
      </w:r>
    </w:p>
    <w:p w14:paraId="0DC33C7F">
      <w:pPr>
        <w:widowControl/>
        <w:spacing w:line="400" w:lineRule="exact"/>
        <w:ind w:firstLine="420" w:firstLineChars="2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无特需要求</w:t>
      </w:r>
    </w:p>
    <w:p w14:paraId="6BDA95A2">
      <w:pPr>
        <w:widowControl/>
        <w:numPr>
          <w:ilvl w:val="0"/>
          <w:numId w:val="0"/>
        </w:numPr>
        <w:spacing w:line="400" w:lineRule="exact"/>
        <w:jc w:val="left"/>
        <w:rPr>
          <w:rFonts w:hint="eastAsia" w:ascii="微软雅黑" w:hAnsi="微软雅黑" w:eastAsia="微软雅黑" w:cs="微软雅黑"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生产要求；</w:t>
      </w:r>
    </w:p>
    <w:p w14:paraId="650732CE">
      <w:pPr>
        <w:widowControl/>
        <w:spacing w:line="400" w:lineRule="exact"/>
        <w:jc w:val="left"/>
      </w:pPr>
      <w:r>
        <w:rPr>
          <w:rFonts w:hint="eastAsia"/>
        </w:rPr>
        <w:t>需穿戴静电防护服、佩戴静电环、静电手套；</w:t>
      </w:r>
    </w:p>
    <w:p w14:paraId="3DCC968B">
      <w:pPr>
        <w:widowControl/>
        <w:spacing w:line="400" w:lineRule="exact"/>
        <w:jc w:val="left"/>
        <w:rPr>
          <w:rFonts w:ascii="等线" w:hAnsi="等线" w:eastAsia="等线" w:cs="等线"/>
          <w:color w:val="000000"/>
          <w:kern w:val="0"/>
          <w:szCs w:val="21"/>
        </w:rPr>
      </w:pPr>
    </w:p>
    <w:p w14:paraId="78FDD865">
      <w:pPr>
        <w:widowControl/>
        <w:numPr>
          <w:ilvl w:val="0"/>
          <w:numId w:val="0"/>
        </w:numPr>
        <w:spacing w:line="400" w:lineRule="exact"/>
        <w:jc w:val="left"/>
        <w:rPr>
          <w:rFonts w:ascii="等线" w:hAnsi="等线" w:eastAsia="等线" w:cs="等线"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所需工具及辅助设备</w:t>
      </w:r>
    </w:p>
    <w:p w14:paraId="3F7373C3">
      <w:pPr>
        <w:widowControl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电脑、</w:t>
      </w:r>
      <w:r>
        <w:rPr>
          <w:rFonts w:hint="eastAsia" w:ascii="微软雅黑" w:hAnsi="微软雅黑" w:eastAsia="微软雅黑" w:cs="微软雅黑"/>
          <w:lang w:val="en-US" w:eastAsia="zh-CN"/>
        </w:rPr>
        <w:t>IPEX线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val="en-US" w:eastAsia="zh-CN"/>
        </w:rPr>
        <w:t>Ai-SG01模组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val="en-US" w:eastAsia="zh-CN"/>
        </w:rPr>
        <w:t>SSCOM串口软件，频谱仪。</w:t>
      </w:r>
    </w:p>
    <w:p w14:paraId="0FAED3C6">
      <w:pPr>
        <w:widowControl/>
        <w:jc w:val="left"/>
        <w:rPr>
          <w:color w:val="FF0000"/>
        </w:rPr>
      </w:pPr>
    </w:p>
    <w:p w14:paraId="1B53AD4F">
      <w:pPr>
        <w:pStyle w:val="2"/>
        <w:numPr>
          <w:ilvl w:val="0"/>
          <w:numId w:val="0"/>
        </w:numPr>
        <w:bidi w:val="0"/>
        <w:rPr>
          <w:rFonts w:hint="default"/>
          <w:b/>
          <w:bCs/>
          <w:lang w:val="en-US" w:eastAsia="zh-CN"/>
        </w:rPr>
      </w:pPr>
      <w:bookmarkStart w:id="0" w:name="_Toc19489"/>
      <w:r>
        <w:rPr>
          <w:rFonts w:hint="eastAsia"/>
          <w:b/>
          <w:bCs/>
          <w:lang w:val="en-US" w:eastAsia="zh-CN"/>
        </w:rPr>
        <w:t>外观</w:t>
      </w:r>
      <w:bookmarkEnd w:id="0"/>
      <w:r>
        <w:rPr>
          <w:rFonts w:hint="eastAsia"/>
          <w:b/>
          <w:bCs/>
          <w:lang w:val="en-US" w:eastAsia="zh-CN"/>
        </w:rPr>
        <w:t>检验</w:t>
      </w:r>
    </w:p>
    <w:p w14:paraId="76C31C6F"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编带等包装是否完好</w:t>
      </w:r>
    </w:p>
    <w:p w14:paraId="54ED7348"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屏蔽罩等目光可见的元器件是否缺料、外观是否完整</w:t>
      </w:r>
    </w:p>
    <w:p w14:paraId="0AFB1422"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是否存在连锡、假焊、锡渣等问题</w:t>
      </w:r>
    </w:p>
    <w:p w14:paraId="32E2FBA6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屏蔽罩丝印是否正确、贴片是否歪斜</w:t>
      </w:r>
    </w:p>
    <w:p w14:paraId="38936753">
      <w:pPr>
        <w:widowControl/>
        <w:jc w:val="left"/>
        <w:rPr>
          <w:color w:val="FF0000"/>
        </w:rPr>
      </w:pPr>
      <w:r>
        <w:rPr>
          <w:color w:val="FF0000"/>
        </w:rPr>
        <w:br w:type="page"/>
      </w:r>
    </w:p>
    <w:p w14:paraId="4CBECCF4">
      <w:pPr>
        <w:pStyle w:val="4"/>
        <w:numPr>
          <w:ilvl w:val="0"/>
          <w:numId w:val="2"/>
        </w:numPr>
        <w:ind w:leftChars="0"/>
        <w:rPr>
          <w:rFonts w:hint="eastAsia"/>
        </w:rPr>
      </w:pPr>
      <w:bookmarkStart w:id="1" w:name="_Toc55824071"/>
      <w:bookmarkStart w:id="2" w:name="_Toc56009289"/>
      <w:bookmarkStart w:id="3" w:name="_Toc55824118"/>
      <w:r>
        <w:rPr>
          <w:rFonts w:hint="eastAsia"/>
        </w:rPr>
        <w:t>测试项</w:t>
      </w:r>
      <w:bookmarkEnd w:id="1"/>
      <w:bookmarkEnd w:id="2"/>
      <w:bookmarkEnd w:id="3"/>
    </w:p>
    <w:p w14:paraId="49638DC3">
      <w:pPr>
        <w:pStyle w:val="26"/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功率测试</w:t>
      </w:r>
    </w:p>
    <w:p w14:paraId="75A6B9B6">
      <w:pPr>
        <w:pStyle w:val="4"/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定频烧录：</w:t>
      </w:r>
    </w:p>
    <w:p w14:paraId="2AE603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使用定频固件</w:t>
      </w:r>
      <w:r>
        <w:rPr>
          <w:rFonts w:hint="eastAsia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5" DrawAspect="Icon" ObjectID="_1468075725" r:id="rId7">
            <o:LockedField>false</o:LockedField>
          </o:OLEObject>
        </w:object>
      </w:r>
      <w:r>
        <w:rPr>
          <w:rFonts w:hint="eastAsia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9">
            <o:LockedField>false</o:LockedField>
          </o:OLEObject>
        </w:object>
      </w:r>
    </w:p>
    <w:p w14:paraId="6C0FC1E4">
      <w:pPr>
        <w:pStyle w:val="4"/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测试接线：</w:t>
      </w:r>
    </w:p>
    <w:p w14:paraId="3AC6DC60">
      <w:pPr>
        <w:ind w:left="840" w:hanging="840" w:hangingChars="400"/>
        <w:rPr>
          <w:rFonts w:hint="eastAsia"/>
          <w:lang w:val="en-US" w:eastAsia="zh-CN"/>
        </w:rPr>
      </w:pPr>
      <w:r>
        <w:drawing>
          <wp:inline distT="0" distB="0" distL="114300" distR="114300">
            <wp:extent cx="5987415" cy="3436620"/>
            <wp:effectExtent l="0" t="0" r="13335" b="1143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BF0E2">
      <w:pPr>
        <w:pStyle w:val="4"/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功率测试</w:t>
      </w:r>
      <w:r>
        <w:rPr>
          <w:rFonts w:hint="eastAsia"/>
          <w:lang w:val="en-US" w:eastAsia="zh-CN"/>
        </w:rPr>
        <w:t>：</w:t>
      </w:r>
    </w:p>
    <w:p w14:paraId="4C72EC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频谱仪设置：</w:t>
      </w:r>
    </w:p>
    <w:p w14:paraId="36A56DD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Center frequency: 433MHz</w:t>
      </w:r>
    </w:p>
    <w:p w14:paraId="6BFC53C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Span:100MHz</w:t>
      </w:r>
    </w:p>
    <w:p w14:paraId="6C1EEE5A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Res Bw:910kHz  Video Bw:50MHz</w:t>
      </w:r>
    </w:p>
    <w:p w14:paraId="5CC03568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/>
          <w:lang w:val="en-US" w:eastAsia="zh-CN"/>
        </w:rPr>
        <w:t xml:space="preserve">Ref Level: 22dB  </w:t>
      </w:r>
    </w:p>
    <w:p w14:paraId="604B8D8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接下来观察界面显示是否如下图所示，是的话说明设置好了</w:t>
      </w:r>
    </w:p>
    <w:p w14:paraId="029AD25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83605" cy="4759325"/>
            <wp:effectExtent l="0" t="0" r="17145" b="317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9184F">
      <w:pPr>
        <w:rPr>
          <w:rFonts w:hint="default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</w:p>
    <w:p w14:paraId="50B2C16B">
      <w:pP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SSCOM 串口软件的使用</w:t>
      </w:r>
    </w:p>
    <w:p w14:paraId="7C19FD3F">
      <w:pPr>
        <w:numPr>
          <w:ilvl w:val="0"/>
          <w:numId w:val="3"/>
        </w:numP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打开SSCOM软件，波特率设置为115200， 奇偶校验为设置为</w:t>
      </w:r>
      <w:r>
        <w:rPr>
          <w:rFonts w:hint="eastAsia" w:ascii="微软雅黑" w:hAnsi="微软雅黑" w:eastAsia="微软雅黑" w:cs="微软雅黑"/>
          <w:color w:val="FF0000"/>
          <w:kern w:val="0"/>
          <w:sz w:val="21"/>
          <w:szCs w:val="21"/>
          <w:lang w:val="en-US" w:eastAsia="zh-CN" w:bidi="ar"/>
        </w:rPr>
        <w:t>偶数位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，打开串口，按复位键开始通信，窗口显示如下</w:t>
      </w:r>
    </w:p>
    <w:p w14:paraId="594D2883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962650" cy="5353050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9303"/>
    <w:p w14:paraId="5710DAE4">
      <w:pPr>
        <w:rPr>
          <w:rFonts w:hint="default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</w:p>
    <w:p w14:paraId="1076DF26">
      <w:pPr>
        <w:rPr>
          <w:rFonts w:hint="default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2.SUB1G 参数的设置（设置频率Freq, 功率 Power, 发包模式），依次发出指令</w:t>
      </w:r>
    </w:p>
    <w:p w14:paraId="10C1686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AT+FREQUENCYBASE</w:t>
      </w:r>
      <w:r>
        <w:rPr>
          <w:rFonts w:hint="eastAsia"/>
          <w:lang w:val="en-US" w:eastAsia="zh-CN"/>
        </w:rPr>
        <w:t>= 433000000    //切换不同信道</w:t>
      </w:r>
    </w:p>
    <w:p w14:paraId="11C7C755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AT+DATARATE</w:t>
      </w:r>
      <w:r>
        <w:rPr>
          <w:rFonts w:hint="eastAsia"/>
          <w:lang w:val="en-US" w:eastAsia="zh-CN"/>
        </w:rPr>
        <w:t>=50000</w:t>
      </w:r>
    </w:p>
    <w:p w14:paraId="0185F19E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AT+POWERSELECT</w:t>
      </w:r>
      <w:r>
        <w:rPr>
          <w:rFonts w:hint="eastAsia"/>
          <w:lang w:val="en-US" w:eastAsia="zh-CN"/>
        </w:rPr>
        <w:t>=0</w:t>
      </w:r>
    </w:p>
    <w:p w14:paraId="4E7AB19A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AT+POWERDBM</w:t>
      </w:r>
      <w:r>
        <w:rPr>
          <w:rFonts w:hint="eastAsia"/>
          <w:lang w:val="en-US" w:eastAsia="zh-CN"/>
        </w:rPr>
        <w:t>=20dBm</w:t>
      </w:r>
    </w:p>
    <w:p w14:paraId="3EF8F885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AT+TXMODE</w:t>
      </w:r>
      <w:r>
        <w:rPr>
          <w:rFonts w:hint="eastAsia"/>
          <w:lang w:val="en-US" w:eastAsia="zh-CN"/>
        </w:rPr>
        <w:t>=0</w:t>
      </w:r>
    </w:p>
    <w:p w14:paraId="56D8C020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AT+TXPERIOD</w:t>
      </w:r>
      <w:r>
        <w:rPr>
          <w:rFonts w:hint="eastAsia"/>
          <w:lang w:val="en-US" w:eastAsia="zh-CN"/>
        </w:rPr>
        <w:t>=50</w:t>
      </w:r>
    </w:p>
    <w:p w14:paraId="1E6C72C8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AT+RFMODE</w:t>
      </w:r>
      <w:r>
        <w:rPr>
          <w:rFonts w:hint="eastAsia"/>
          <w:lang w:val="en-US" w:eastAsia="zh-CN"/>
        </w:rPr>
        <w:t>=2</w:t>
      </w:r>
    </w:p>
    <w:p w14:paraId="44362A59">
      <w:pPr>
        <w:rPr>
          <w:rFonts w:hint="eastAsia"/>
          <w:lang w:val="en-US" w:eastAsia="zh-CN"/>
        </w:rPr>
      </w:pPr>
    </w:p>
    <w:p w14:paraId="2B161509">
      <w:pPr>
        <w:rPr>
          <w:rFonts w:hint="eastAsia"/>
          <w:lang w:val="en-US" w:eastAsia="zh-CN"/>
        </w:rPr>
      </w:pPr>
    </w:p>
    <w:p w14:paraId="5656FF88">
      <w:pPr>
        <w:rPr>
          <w:rFonts w:hint="eastAsia"/>
          <w:lang w:val="en-US" w:eastAsia="zh-CN"/>
        </w:rPr>
      </w:pPr>
    </w:p>
    <w:p w14:paraId="243CCAAE">
      <w:pPr>
        <w:rPr>
          <w:rFonts w:hint="eastAsia"/>
          <w:lang w:val="en-US" w:eastAsia="zh-CN"/>
        </w:rPr>
      </w:pPr>
    </w:p>
    <w:p w14:paraId="6E2B1344">
      <w:pPr>
        <w:rPr>
          <w:rFonts w:hint="eastAsia"/>
          <w:lang w:val="en-US" w:eastAsia="zh-CN"/>
        </w:rPr>
      </w:pPr>
    </w:p>
    <w:p w14:paraId="02809B96">
      <w:pPr>
        <w:numPr>
          <w:ilvl w:val="0"/>
          <w:numId w:val="0"/>
        </w:numPr>
        <w:ind w:leftChars="0"/>
        <w:jc w:val="left"/>
      </w:pPr>
    </w:p>
    <w:p w14:paraId="42D5BE6B">
      <w:pPr>
        <w:numPr>
          <w:ilvl w:val="0"/>
          <w:numId w:val="0"/>
        </w:numPr>
        <w:ind w:leftChars="0"/>
        <w:jc w:val="left"/>
      </w:pPr>
    </w:p>
    <w:p w14:paraId="6281D0F4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5.频谱仪按Peak 键捕捉模组波形顶点</w:t>
      </w:r>
    </w:p>
    <w:p w14:paraId="55DA0D26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 w14:paraId="0A66DAE9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 w14:paraId="618DFC3A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 w14:paraId="0D657D1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测试标准：注意</w:t>
      </w:r>
      <w:r>
        <w:rPr>
          <w:rFonts w:hint="eastAsia"/>
          <w:color w:val="FF0000"/>
          <w:sz w:val="28"/>
          <w:szCs w:val="32"/>
          <w:lang w:val="en-US" w:eastAsia="zh-CN"/>
        </w:rPr>
        <w:t>发射功率要弥补线损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7676"/>
      </w:tblGrid>
      <w:tr w14:paraId="5C637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419FB1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发射功率：</w:t>
            </w:r>
          </w:p>
        </w:tc>
        <w:tc>
          <w:tcPr>
            <w:tcW w:w="7676" w:type="dxa"/>
          </w:tcPr>
          <w:p w14:paraId="37993D3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        18dBm≤ Tx power≤22dBm</w:t>
            </w:r>
          </w:p>
        </w:tc>
      </w:tr>
    </w:tbl>
    <w:p w14:paraId="74F8B4ED">
      <w:pPr>
        <w:numPr>
          <w:ilvl w:val="0"/>
          <w:numId w:val="0"/>
        </w:numPr>
        <w:ind w:leftChars="0"/>
        <w:jc w:val="left"/>
      </w:pPr>
    </w:p>
    <w:p w14:paraId="3AAB7C94">
      <w:pPr>
        <w:widowControl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57D37EA8">
      <w:pPr>
        <w:pStyle w:val="4"/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频偏测试</w:t>
      </w:r>
      <w:r>
        <w:rPr>
          <w:rFonts w:hint="eastAsia"/>
          <w:lang w:val="en-US" w:eastAsia="zh-CN"/>
        </w:rPr>
        <w:t>：</w:t>
      </w:r>
    </w:p>
    <w:p w14:paraId="64B9DDA5"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在功率测试中读出maker1的频点，如上图（注意注意：如果频率读数小数点后的位数不够精细，需要把频谱仪的SPAN设置改小，直到小数点后出现3位小数为止单位MHz）</w:t>
      </w:r>
    </w:p>
    <w:p w14:paraId="14150CDC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检验标准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6437"/>
      </w:tblGrid>
      <w:tr w14:paraId="256E0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7" w:type="dxa"/>
          </w:tcPr>
          <w:p w14:paraId="6AB86E5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测试频点</w:t>
            </w:r>
          </w:p>
        </w:tc>
        <w:tc>
          <w:tcPr>
            <w:tcW w:w="6437" w:type="dxa"/>
          </w:tcPr>
          <w:p w14:paraId="0B4D389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1470" w:firstLineChars="70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频谱仪读数标准</w:t>
            </w:r>
          </w:p>
        </w:tc>
      </w:tr>
      <w:tr w14:paraId="2F2D9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7" w:type="dxa"/>
          </w:tcPr>
          <w:p w14:paraId="3F05527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433MHz</w:t>
            </w:r>
          </w:p>
        </w:tc>
        <w:tc>
          <w:tcPr>
            <w:tcW w:w="6437" w:type="dxa"/>
          </w:tcPr>
          <w:p w14:paraId="3AC15D9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1470" w:firstLineChars="70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433.992MHz&lt;Tx frequence&lt;433.008MHz（±20ppm）</w:t>
            </w:r>
          </w:p>
        </w:tc>
      </w:tr>
    </w:tbl>
    <w:p w14:paraId="214DD9F2">
      <w:pPr>
        <w:widowControl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04EABBF0">
      <w:pPr>
        <w:widowControl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4E770162">
      <w:pPr>
        <w:widowControl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6E2EBD35">
      <w:pPr>
        <w:widowControl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以上为Ai-SG01 的FQC检验指引，有任何问题，可以联系工程这边协助。</w:t>
      </w:r>
    </w:p>
    <w:p w14:paraId="477E7A55">
      <w:pPr>
        <w:numPr>
          <w:ilvl w:val="0"/>
          <w:numId w:val="0"/>
        </w:numPr>
        <w:ind w:leftChars="0"/>
        <w:jc w:val="left"/>
      </w:pPr>
    </w:p>
    <w:p w14:paraId="5E4A97F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4A0DAD6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010E71B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F17A5F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42A81A20">
      <w:pPr>
        <w:widowControl/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80" w:right="1286" w:bottom="1078" w:left="1180" w:header="0" w:footer="68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宋体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5BF924"/>
  <w:p w14:paraId="53A9D00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4984750</wp:posOffset>
              </wp:positionH>
              <wp:positionV relativeFrom="paragraph">
                <wp:posOffset>107315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140AB1"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2.5pt;margin-top:8.4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XNArbYAAAACwEAAA8AAAAAAAAAAQAgAAAAIgAAAGRycy9kb3ducmV2LnhtbFBLAQIU&#10;ABQAAAAIAIdO4kCD+evlLAIAAFcEAAAOAAAAAAAAAAEAIAAAACc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140AB1">
                    <w:pPr>
                      <w:pStyle w:val="9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4D90BE47"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C9223"/>
  <w:p w14:paraId="310393D5"/>
  <w:p w14:paraId="1685E2A9">
    <w:pPr>
      <w:jc w:val="left"/>
    </w:pPr>
    <w:r>
      <w:drawing>
        <wp:inline distT="0" distB="0" distL="114300" distR="114300">
          <wp:extent cx="2084705" cy="669925"/>
          <wp:effectExtent l="0" t="0" r="0" b="16510"/>
          <wp:docPr id="29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470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rPr>
        <w:rFonts w:hint="eastAsia"/>
        <w:sz w:val="44"/>
        <w:szCs w:val="44"/>
      </w:rPr>
      <w:t xml:space="preserve"> </w:t>
    </w:r>
  </w:p>
  <w:p w14:paraId="3D5420DB">
    <w:pPr>
      <w:jc w:val="center"/>
      <w:rPr>
        <w:b/>
        <w:bCs/>
        <w:sz w:val="44"/>
        <w:szCs w:val="44"/>
      </w:rPr>
    </w:pPr>
    <w:r>
      <w:rPr>
        <w:rFonts w:hint="eastAsia"/>
        <w:b/>
        <w:bCs/>
        <w:sz w:val="44"/>
        <w:szCs w:val="44"/>
        <w:lang w:val="en-US" w:eastAsia="zh-CN"/>
      </w:rPr>
      <w:t>Ai-SG01</w:t>
    </w:r>
    <w:r>
      <w:rPr>
        <w:rFonts w:hint="eastAsia"/>
        <w:b/>
        <w:bCs/>
        <w:sz w:val="44"/>
        <w:szCs w:val="44"/>
      </w:rPr>
      <w:t xml:space="preserve"> </w:t>
    </w:r>
    <w:bookmarkStart w:id="4" w:name="_GoBack"/>
    <w:bookmarkEnd w:id="4"/>
    <w:r>
      <w:rPr>
        <w:rFonts w:hint="eastAsia"/>
        <w:b/>
        <w:bCs/>
        <w:sz w:val="44"/>
        <w:szCs w:val="44"/>
        <w:lang w:eastAsia="zh-CN"/>
      </w:rPr>
      <w:t>定频</w:t>
    </w:r>
    <w:r>
      <w:rPr>
        <w:rFonts w:hint="eastAsia"/>
        <w:b/>
        <w:bCs/>
        <w:sz w:val="44"/>
        <w:szCs w:val="44"/>
      </w:rPr>
      <w:t>文件</w:t>
    </w:r>
    <w:r>
      <w:rPr>
        <w:b/>
        <w:bCs/>
        <w:sz w:val="44"/>
        <w:szCs w:val="44"/>
      </w:rPr>
      <w:pict>
        <v:shape id="PowerPlusWaterMarkObject208288" o:spid="_x0000_s4097" o:spt="136" type="#_x0000_t136" style="position:absolute;left:0pt;height:66.4pt;width:582.4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仅用于安信可内部使用" style="font-family:仿宋;font-size:66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FF51D"/>
    <w:multiLevelType w:val="singleLevel"/>
    <w:tmpl w:val="94BFF51D"/>
    <w:lvl w:ilvl="0" w:tentative="0">
      <w:start w:val="1"/>
      <w:numFmt w:val="chineseCounting"/>
      <w:suff w:val="nothing"/>
      <w:lvlText w:val="%1，"/>
      <w:lvlJc w:val="left"/>
      <w:rPr>
        <w:rFonts w:hint="eastAsia"/>
      </w:rPr>
    </w:lvl>
  </w:abstractNum>
  <w:abstractNum w:abstractNumId="1">
    <w:nsid w:val="C16F7E92"/>
    <w:multiLevelType w:val="singleLevel"/>
    <w:tmpl w:val="C16F7E9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712453F"/>
    <w:multiLevelType w:val="singleLevel"/>
    <w:tmpl w:val="1712453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3D08C3B"/>
    <w:multiLevelType w:val="singleLevel"/>
    <w:tmpl w:val="53D08C3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5Yzc4MmRjNDcwZDFiZDMyMTIwNTNjOWQ5NGJkZWUifQ=="/>
  </w:docVars>
  <w:rsids>
    <w:rsidRoot w:val="00F36F22"/>
    <w:rsid w:val="000623A2"/>
    <w:rsid w:val="00143AB1"/>
    <w:rsid w:val="00424770"/>
    <w:rsid w:val="005C7F4D"/>
    <w:rsid w:val="005D32D6"/>
    <w:rsid w:val="00630047"/>
    <w:rsid w:val="00637125"/>
    <w:rsid w:val="0067506A"/>
    <w:rsid w:val="006A7A9D"/>
    <w:rsid w:val="006A7F30"/>
    <w:rsid w:val="00715FFE"/>
    <w:rsid w:val="00752AA2"/>
    <w:rsid w:val="007A5520"/>
    <w:rsid w:val="00831E43"/>
    <w:rsid w:val="0084092D"/>
    <w:rsid w:val="00884239"/>
    <w:rsid w:val="00891BFC"/>
    <w:rsid w:val="00A379D6"/>
    <w:rsid w:val="00A65C06"/>
    <w:rsid w:val="00AB1F19"/>
    <w:rsid w:val="00AD649B"/>
    <w:rsid w:val="00AE1220"/>
    <w:rsid w:val="00B00D51"/>
    <w:rsid w:val="00B20506"/>
    <w:rsid w:val="00B73A9C"/>
    <w:rsid w:val="00C00EEC"/>
    <w:rsid w:val="00CA303A"/>
    <w:rsid w:val="00E53CED"/>
    <w:rsid w:val="00E933E2"/>
    <w:rsid w:val="00F227AC"/>
    <w:rsid w:val="00F36F22"/>
    <w:rsid w:val="013203C8"/>
    <w:rsid w:val="014C2D9D"/>
    <w:rsid w:val="063F099E"/>
    <w:rsid w:val="06BA7B09"/>
    <w:rsid w:val="06D34EAB"/>
    <w:rsid w:val="0B1D59BD"/>
    <w:rsid w:val="0C6564EF"/>
    <w:rsid w:val="0D1D6B3C"/>
    <w:rsid w:val="0E3B0C69"/>
    <w:rsid w:val="0E696CC5"/>
    <w:rsid w:val="0F423592"/>
    <w:rsid w:val="0FA05692"/>
    <w:rsid w:val="11710B3B"/>
    <w:rsid w:val="11D321AC"/>
    <w:rsid w:val="12616729"/>
    <w:rsid w:val="12FC718E"/>
    <w:rsid w:val="14383DEC"/>
    <w:rsid w:val="14705FBC"/>
    <w:rsid w:val="14D56A06"/>
    <w:rsid w:val="15EC51C9"/>
    <w:rsid w:val="16940E41"/>
    <w:rsid w:val="16B86BB3"/>
    <w:rsid w:val="1756680B"/>
    <w:rsid w:val="17BC3432"/>
    <w:rsid w:val="17C471A1"/>
    <w:rsid w:val="186D6AB5"/>
    <w:rsid w:val="19325192"/>
    <w:rsid w:val="1ADE2E91"/>
    <w:rsid w:val="1B702BB3"/>
    <w:rsid w:val="1BC250C9"/>
    <w:rsid w:val="1F800B6A"/>
    <w:rsid w:val="23556523"/>
    <w:rsid w:val="23F931BB"/>
    <w:rsid w:val="258E3E7D"/>
    <w:rsid w:val="263A38A0"/>
    <w:rsid w:val="26D41FE4"/>
    <w:rsid w:val="29E85502"/>
    <w:rsid w:val="2A0168B1"/>
    <w:rsid w:val="2B5B01C6"/>
    <w:rsid w:val="2C545DBE"/>
    <w:rsid w:val="2C8C59E1"/>
    <w:rsid w:val="2D66480F"/>
    <w:rsid w:val="2D89037F"/>
    <w:rsid w:val="2E965A58"/>
    <w:rsid w:val="2EA817C1"/>
    <w:rsid w:val="2EBA0FF8"/>
    <w:rsid w:val="2F3C009E"/>
    <w:rsid w:val="32ED48B9"/>
    <w:rsid w:val="334F6636"/>
    <w:rsid w:val="33A74017"/>
    <w:rsid w:val="342364B0"/>
    <w:rsid w:val="34811313"/>
    <w:rsid w:val="37177310"/>
    <w:rsid w:val="383E2342"/>
    <w:rsid w:val="38DC4962"/>
    <w:rsid w:val="393E2EFC"/>
    <w:rsid w:val="39951576"/>
    <w:rsid w:val="3A7210BB"/>
    <w:rsid w:val="3C146C25"/>
    <w:rsid w:val="3CAA3C4F"/>
    <w:rsid w:val="3E4E4A6C"/>
    <w:rsid w:val="3F5951F5"/>
    <w:rsid w:val="40276423"/>
    <w:rsid w:val="41961147"/>
    <w:rsid w:val="457A4FFA"/>
    <w:rsid w:val="45F41F25"/>
    <w:rsid w:val="4671653E"/>
    <w:rsid w:val="48564BAF"/>
    <w:rsid w:val="48FD3131"/>
    <w:rsid w:val="49BC0F75"/>
    <w:rsid w:val="49CB1F46"/>
    <w:rsid w:val="49D65303"/>
    <w:rsid w:val="4BC4250B"/>
    <w:rsid w:val="4BF64A63"/>
    <w:rsid w:val="4CB228A4"/>
    <w:rsid w:val="4DA26383"/>
    <w:rsid w:val="4E734727"/>
    <w:rsid w:val="4FC91888"/>
    <w:rsid w:val="509B254A"/>
    <w:rsid w:val="51153F22"/>
    <w:rsid w:val="51CA2E84"/>
    <w:rsid w:val="53396AD2"/>
    <w:rsid w:val="54E61D81"/>
    <w:rsid w:val="55073040"/>
    <w:rsid w:val="554A2E2C"/>
    <w:rsid w:val="554B4B07"/>
    <w:rsid w:val="56EE327F"/>
    <w:rsid w:val="5766523E"/>
    <w:rsid w:val="57AA0636"/>
    <w:rsid w:val="59394678"/>
    <w:rsid w:val="5968061F"/>
    <w:rsid w:val="59E30F0E"/>
    <w:rsid w:val="5A0565F1"/>
    <w:rsid w:val="5A205894"/>
    <w:rsid w:val="5CB820C9"/>
    <w:rsid w:val="5D9A2FA4"/>
    <w:rsid w:val="63081CAD"/>
    <w:rsid w:val="63B24608"/>
    <w:rsid w:val="651D21C9"/>
    <w:rsid w:val="65E15D9B"/>
    <w:rsid w:val="66826608"/>
    <w:rsid w:val="66BA50F3"/>
    <w:rsid w:val="695D5BE2"/>
    <w:rsid w:val="696375DD"/>
    <w:rsid w:val="6BDD39FF"/>
    <w:rsid w:val="6C6C212F"/>
    <w:rsid w:val="6E6529A8"/>
    <w:rsid w:val="6FF85123"/>
    <w:rsid w:val="71CF3DF9"/>
    <w:rsid w:val="72336D9B"/>
    <w:rsid w:val="72E663B3"/>
    <w:rsid w:val="736C5674"/>
    <w:rsid w:val="74827185"/>
    <w:rsid w:val="75057D0A"/>
    <w:rsid w:val="757C2C07"/>
    <w:rsid w:val="757C790B"/>
    <w:rsid w:val="765C315A"/>
    <w:rsid w:val="767618F1"/>
    <w:rsid w:val="76820D7D"/>
    <w:rsid w:val="77143D7A"/>
    <w:rsid w:val="777F1F3C"/>
    <w:rsid w:val="78D04ECB"/>
    <w:rsid w:val="79157A7D"/>
    <w:rsid w:val="79573719"/>
    <w:rsid w:val="7A5A7725"/>
    <w:rsid w:val="7CF501BE"/>
    <w:rsid w:val="7DD06143"/>
    <w:rsid w:val="7E0D1E70"/>
    <w:rsid w:val="7ECC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微软雅黑"/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endnote text"/>
    <w:basedOn w:val="1"/>
    <w:link w:val="20"/>
    <w:semiHidden/>
    <w:unhideWhenUsed/>
    <w:qFormat/>
    <w:uiPriority w:val="99"/>
    <w:pPr>
      <w:snapToGrid w:val="0"/>
      <w:jc w:val="left"/>
    </w:pPr>
  </w:style>
  <w:style w:type="paragraph" w:styleId="8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endnote reference"/>
    <w:basedOn w:val="15"/>
    <w:semiHidden/>
    <w:unhideWhenUsed/>
    <w:qFormat/>
    <w:uiPriority w:val="99"/>
    <w:rPr>
      <w:vertAlign w:val="superscript"/>
    </w:rPr>
  </w:style>
  <w:style w:type="character" w:styleId="17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批注框文本 Char"/>
    <w:basedOn w:val="15"/>
    <w:link w:val="8"/>
    <w:semiHidden/>
    <w:qFormat/>
    <w:uiPriority w:val="99"/>
    <w:rPr>
      <w:sz w:val="18"/>
      <w:szCs w:val="18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..." w:eastAsia="宋体..." w:cs="宋体..." w:hAnsiTheme="minorHAnsi"/>
      <w:color w:val="000000"/>
      <w:sz w:val="24"/>
      <w:szCs w:val="24"/>
      <w:lang w:val="en-US" w:eastAsia="zh-CN" w:bidi="ar-SA"/>
    </w:rPr>
  </w:style>
  <w:style w:type="character" w:customStyle="1" w:styleId="20">
    <w:name w:val="尾注文本 Char"/>
    <w:basedOn w:val="15"/>
    <w:link w:val="7"/>
    <w:semiHidden/>
    <w:qFormat/>
    <w:uiPriority w:val="99"/>
  </w:style>
  <w:style w:type="character" w:customStyle="1" w:styleId="21">
    <w:name w:val="页眉 Char"/>
    <w:basedOn w:val="15"/>
    <w:link w:val="10"/>
    <w:qFormat/>
    <w:uiPriority w:val="99"/>
    <w:rPr>
      <w:sz w:val="18"/>
      <w:szCs w:val="18"/>
    </w:rPr>
  </w:style>
  <w:style w:type="character" w:customStyle="1" w:styleId="22">
    <w:name w:val="页脚 Char"/>
    <w:basedOn w:val="15"/>
    <w:link w:val="9"/>
    <w:qFormat/>
    <w:uiPriority w:val="99"/>
    <w:rPr>
      <w:sz w:val="18"/>
      <w:szCs w:val="18"/>
    </w:rPr>
  </w:style>
  <w:style w:type="character" w:customStyle="1" w:styleId="23">
    <w:name w:val="标题 1 Char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标题 2 Char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5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styleId="26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27">
    <w:name w:val="标题 3 Char"/>
    <w:basedOn w:val="15"/>
    <w:link w:val="4"/>
    <w:qFormat/>
    <w:uiPriority w:val="9"/>
    <w:rPr>
      <w:rFonts w:eastAsia="微软雅黑"/>
      <w:b/>
      <w:bCs/>
      <w:kern w:val="2"/>
      <w:sz w:val="32"/>
      <w:szCs w:val="32"/>
    </w:rPr>
  </w:style>
  <w:style w:type="character" w:customStyle="1" w:styleId="28">
    <w:name w:val="标题 4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29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3.emf"/><Relationship Id="rId7" Type="http://schemas.openxmlformats.org/officeDocument/2006/relationships/oleObject" Target="embeddings/oleObject1.bin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512</Words>
  <Characters>820</Characters>
  <Lines>16</Lines>
  <Paragraphs>4</Paragraphs>
  <TotalTime>11</TotalTime>
  <ScaleCrop>false</ScaleCrop>
  <LinksUpToDate>false</LinksUpToDate>
  <CharactersWithSpaces>949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2020-09-14T08:07:00Z</dcterms:created>
  <dc:creator>GuoGuo</dc:creator>
  <cp:lastModifiedBy>Ai</cp:lastModifiedBy>
  <dcterms:modified xsi:type="dcterms:W3CDTF">2025-12-01T09:00:24Z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89BA762545C24977B186423F4E4FF41A</vt:lpwstr>
  </property>
  <property fmtid="{D5CDD505-2E9C-101B-9397-08002B2CF9AE}" pid="4" name="KSOTemplateDocerSaveRecord">
    <vt:lpwstr>eyJoZGlkIjoiY2VhYjA4ZjM1NTgxOTIxYzU0NmZkMmRkZDYxNWQ0YTkifQ==</vt:lpwstr>
  </property>
</Properties>
</file>